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2447" w:val="left" w:leader="none"/>
          <w:tab w:pos="3882" w:val="left" w:leader="none"/>
          <w:tab w:pos="8039" w:val="left" w:leader="none"/>
        </w:tabs>
        <w:spacing w:line="240" w:lineRule="auto"/>
        <w:ind w:left="214" w:right="0" w:firstLine="0"/>
        <w:rPr>
          <w:sz w:val="20"/>
          <w:rFonts w:ascii="Times New Roman"/>
        </w:rPr>
      </w:pPr>
      <w:r>
        <w:rPr>
          <w:sz w:val="20"/>
          <w:rFonts w:ascii="Times New Roman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65661" cy="688085"/>
            <wp:effectExtent l="0" t="0" r="0" b="0"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661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 xml:space="preserve"> </w:t>
      </w:r>
      <w: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0"/>
        <w:rPr>
          <w:rFonts w:ascii="Times New Roman"/>
          <w:sz w:val="20"/>
        </w:rPr>
      </w:pPr>
    </w:p>
    <w:p>
      <w:pPr>
        <w:pStyle w:val="BodyText"/>
        <w:spacing w:before="5"/>
        <w:ind w:left="0"/>
        <w:rPr>
          <w:rFonts w:ascii="Times New Roman"/>
          <w:sz w:val="25"/>
        </w:rPr>
      </w:pPr>
    </w:p>
    <w:p>
      <w:pPr>
        <w:pStyle w:val="BodyText"/>
        <w:spacing w:before="100"/>
        <w:ind w:left="213"/>
      </w:pPr>
      <w:r>
        <w:rPr>
          <w:color w:val="595959"/>
        </w:rPr>
        <w:t xml:space="preserve">DESENVOLVIMENTO DE CAPACIDADES DE ELABORAÇÃO DE LEIS E POLÍTICAS SOBRE DESLOCAÇÕES INTERNAS</w:t>
      </w: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spacing w:before="7"/>
        <w:ind w:left="0"/>
        <w:rPr>
          <w:sz w:val="25"/>
        </w:rPr>
      </w:pPr>
    </w:p>
    <w:p>
      <w:pPr>
        <w:pStyle w:val="Title"/>
        <w:spacing w:line="276" w:lineRule="auto"/>
      </w:pPr>
      <w:r>
        <w:rPr>
          <w:color w:val="5B9BD5"/>
        </w:rPr>
        <w:t xml:space="preserve">SESSÃO 5:</w:t>
      </w:r>
      <w:r>
        <w:rPr>
          <w:color w:val="5B9BD5"/>
        </w:rPr>
        <w:t xml:space="preserve"> </w:t>
      </w:r>
      <w:r>
        <w:rPr>
          <w:color w:val="5B9BD5"/>
        </w:rPr>
        <w:t xml:space="preserve">PREPARAÇÃO - AUMENTAR O CONHECIMENTO E COMPREENSÃO E A ANÁLISE JURÍDICA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40"/>
        <w:ind w:left="2335" w:right="158"/>
        <w:jc w:val="both"/>
      </w:pPr>
      <w:r>
        <w:pict>
          <v:group style="position:absolute;margin-left:65.400002pt;margin-top:2.065786pt;width:106.1pt;height:389.8pt;mso-position-horizontal-relative:page;mso-position-vertical-relative:paragraph;z-index:15728640" coordorigin="1308,41" coordsize="2122,7796">
            <v:shape style="position:absolute;left:1308;top:41;width:2122;height:7796" coordorigin="1308,41" coordsize="2122,7796" path="m3430,41l1308,41,1308,5000,1308,7837,3430,7837,3430,5000,3430,41xe" filled="true" fillcolor="#deeaf6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308;top:41;width:2122;height:7796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22"/>
                      </w:rPr>
                    </w:pPr>
                  </w:p>
                  <w:p>
                    <w:pPr>
                      <w:spacing w:before="1"/>
                      <w:ind w:left="10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RESUMO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2"/>
                      <w:rPr>
                        <w:sz w:val="21"/>
                      </w:rPr>
                    </w:pPr>
                  </w:p>
                  <w:p>
                    <w:pPr>
                      <w:spacing w:before="0"/>
                      <w:ind w:left="10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OBJETIVOS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t xml:space="preserve">As próximas três sessões centrar-se-ão na fase de preparação e realçarão a importância de efetuar uma análise jurídica, aumentar o conhecimento e a compreensão sobre as deslocações e recolher dados sobre as PDI antes de dar início à elaboração de uma lei ou política.</w:t>
      </w:r>
      <w:r>
        <w:t xml:space="preserve"> </w:t>
      </w:r>
      <w:r>
        <w:t xml:space="preserve">A recolha de dados pode já ter começado, mas a informação deve ser recolhida regularmente e atualizada sistematicamente.</w:t>
      </w:r>
    </w:p>
    <w:p>
      <w:pPr>
        <w:pStyle w:val="BodyText"/>
        <w:spacing w:before="200"/>
        <w:ind w:left="2335" w:right="158"/>
        <w:jc w:val="both"/>
      </w:pPr>
      <w:r>
        <w:t xml:space="preserve">Esta sessão centra-se na análise da legislação nacional.</w:t>
      </w:r>
      <w:r>
        <w:t xml:space="preserve"> </w:t>
      </w:r>
      <w:r>
        <w:t xml:space="preserve">A fundamentação lógica para tal é assegurar que as leis atuais defendem e não violam os direitos das PDI e que, além disso, não prejudicarão a implementação do novo instrumento.</w:t>
      </w:r>
      <w:r>
        <w:t xml:space="preserve"> </w:t>
      </w:r>
      <w:r>
        <w:t xml:space="preserve">A metodologia e os exemplos de países demonstram como analisar a proteção concedida às PDI nos termos da legislação nacional, em comparação com as normas regionais e internacionais, como os Princípios Orientadores, a Convenção de Kampala e o Pacto dos Grandes Lagos.</w:t>
      </w:r>
      <w:r>
        <w:t xml:space="preserve"> </w:t>
      </w:r>
      <w:r>
        <w:t xml:space="preserve">Essas análises jurídicas foram efetuadas na República Centro-Africana, no Quénia e no Zimbabué.</w:t>
      </w:r>
    </w:p>
    <w:p>
      <w:pPr>
        <w:pStyle w:val="BodyText"/>
        <w:spacing w:before="7"/>
        <w:ind w:left="0"/>
        <w:rPr>
          <w:sz w:val="21"/>
        </w:rPr>
      </w:pPr>
    </w:p>
    <w:p>
      <w:pPr>
        <w:pStyle w:val="BodyText"/>
        <w:spacing w:before="100"/>
        <w:ind w:left="2477"/>
      </w:pPr>
      <w:r>
        <w:t xml:space="preserve">No final da sessão, os participantes deverão ser capazes de: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5" w:after="0"/>
        <w:ind w:left="2761" w:right="158" w:hanging="284"/>
        <w:jc w:val="left"/>
        <w:rPr>
          <w:sz w:val="24"/>
        </w:rPr>
      </w:pPr>
      <w:r>
        <w:rPr>
          <w:sz w:val="24"/>
        </w:rPr>
        <w:t xml:space="preserve">Explicar por que é necessário tomar certas medidas como preparação para a elaboração.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0" w:after="0"/>
        <w:ind w:left="2761" w:right="158" w:hanging="284"/>
        <w:jc w:val="left"/>
        <w:rPr>
          <w:sz w:val="24"/>
        </w:rPr>
      </w:pPr>
      <w:r>
        <w:rPr>
          <w:sz w:val="24"/>
        </w:rPr>
        <w:t xml:space="preserve">Sugerir formas de aumentar o conhecimento e compreender a deslocação nas etapas iniciais.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0" w:after="0"/>
        <w:ind w:left="2761" w:right="158" w:hanging="284"/>
        <w:jc w:val="left"/>
        <w:rPr>
          <w:sz w:val="24"/>
        </w:rPr>
      </w:pPr>
      <w:r>
        <w:rPr>
          <w:sz w:val="24"/>
        </w:rPr>
        <w:t xml:space="preserve">Compreender porquê, quando e como efetuar uma análise da legislação nacional.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93" w:lineRule="exact" w:before="0" w:after="0"/>
        <w:ind w:left="2761" w:right="0" w:hanging="285"/>
        <w:jc w:val="left"/>
        <w:rPr>
          <w:sz w:val="24"/>
        </w:rPr>
      </w:pPr>
      <w:r>
        <w:rPr>
          <w:sz w:val="24"/>
        </w:rPr>
        <w:t xml:space="preserve">Aprender lições com as análises anteriores.</w:t>
      </w:r>
    </w:p>
    <w:p>
      <w:pPr>
        <w:spacing w:after="0" w:line="293" w:lineRule="exact"/>
        <w:jc w:val="left"/>
        <w:rPr>
          <w:sz w:val="24"/>
        </w:rPr>
        <w:sectPr>
          <w:type w:val="continuous"/>
          <w:pgSz w:w="11900" w:h="16820"/>
          <w:pgMar w:top="900" w:bottom="280" w:left="1200" w:right="1480"/>
        </w:sectPr>
      </w:pPr>
    </w:p>
    <w:p>
      <w:pPr>
        <w:pStyle w:val="BodyText"/>
        <w:spacing w:before="1"/>
        <w:ind w:left="0"/>
        <w:rPr>
          <w:sz w:val="11"/>
        </w:rPr>
      </w:pP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100" w:after="0"/>
        <w:ind w:left="2761" w:right="158" w:hanging="284"/>
        <w:jc w:val="left"/>
        <w:rPr>
          <w:sz w:val="24"/>
        </w:rPr>
      </w:pPr>
      <w:r>
        <w:pict>
          <v:group style="position:absolute;margin-left:65.400002pt;margin-top:-7.094231pt;width:106.1pt;height:314.4pt;mso-position-horizontal-relative:page;mso-position-vertical-relative:paragraph;z-index:15729152" coordorigin="1308,-142" coordsize="2122,6288">
            <v:shape style="position:absolute;left:1308;top:-142;width:2122;height:6288" coordorigin="1308,-142" coordsize="2122,6288" path="m3430,-142l1308,-142,1308,1269,1308,5321,1308,6146,3430,6146,3430,5321,3430,1269,3430,-142xe" filled="true" fillcolor="#deeaf6" stroked="false">
              <v:path arrowok="t"/>
              <v:fill type="solid"/>
            </v:shape>
            <v:shape style="position:absolute;left:1308;top:-142;width:2122;height:6288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22"/>
                      </w:rPr>
                    </w:pPr>
                  </w:p>
                  <w:p>
                    <w:pPr>
                      <w:spacing w:before="1"/>
                      <w:ind w:left="10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PRINCIPAIS MENSAGENS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before="202"/>
                      <w:ind w:left="10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DOCUMENTAÇÃO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1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10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MATERIAL DE APOIO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4"/>
        </w:rPr>
        <w:t xml:space="preserve">O desenvolvimento de um instrumento nacional requer tempo e uma preparação rigorosa.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0" w:after="0"/>
        <w:ind w:left="2761" w:right="158" w:hanging="284"/>
        <w:jc w:val="left"/>
        <w:rPr>
          <w:sz w:val="24"/>
        </w:rPr>
      </w:pPr>
      <w:r>
        <w:rPr>
          <w:sz w:val="24"/>
        </w:rPr>
        <w:t xml:space="preserve">A preparação influenciará o modo como o novo instrumento é desenvolvido e a sua eventual forma e conteúdo.</w:t>
      </w:r>
    </w:p>
    <w:p>
      <w:pPr>
        <w:pStyle w:val="ListParagraph"/>
        <w:numPr>
          <w:ilvl w:val="0"/>
          <w:numId w:val="1"/>
        </w:numPr>
        <w:tabs>
          <w:tab w:pos="2761" w:val="left" w:leader="none"/>
          <w:tab w:pos="2762" w:val="left" w:leader="none"/>
        </w:tabs>
        <w:spacing w:line="240" w:lineRule="auto" w:before="239" w:after="0"/>
        <w:ind w:left="2761" w:right="0" w:hanging="358"/>
        <w:jc w:val="left"/>
        <w:rPr>
          <w:sz w:val="24"/>
        </w:rPr>
      </w:pPr>
      <w:r>
        <w:rPr>
          <w:sz w:val="24"/>
        </w:rPr>
        <w:t xml:space="preserve">Princípios Orientadores, 1998.</w:t>
      </w:r>
    </w:p>
    <w:p>
      <w:pPr>
        <w:pStyle w:val="ListParagraph"/>
        <w:numPr>
          <w:ilvl w:val="0"/>
          <w:numId w:val="1"/>
        </w:numPr>
        <w:tabs>
          <w:tab w:pos="2761" w:val="left" w:leader="none"/>
          <w:tab w:pos="2762" w:val="left" w:leader="none"/>
        </w:tabs>
        <w:spacing w:line="240" w:lineRule="auto" w:before="0" w:after="0"/>
        <w:ind w:left="2761" w:right="0" w:hanging="358"/>
        <w:jc w:val="left"/>
        <w:rPr>
          <w:sz w:val="24"/>
        </w:rPr>
      </w:pPr>
      <w:r>
        <w:rPr>
          <w:sz w:val="24"/>
        </w:rPr>
        <w:t xml:space="preserve">Convenção de Kampala, 2009.</w:t>
      </w:r>
    </w:p>
    <w:p>
      <w:pPr>
        <w:pStyle w:val="ListParagraph"/>
        <w:numPr>
          <w:ilvl w:val="0"/>
          <w:numId w:val="1"/>
        </w:numPr>
        <w:tabs>
          <w:tab w:pos="2761" w:val="left" w:leader="none"/>
          <w:tab w:pos="2762" w:val="left" w:leader="none"/>
        </w:tabs>
        <w:spacing w:line="240" w:lineRule="auto" w:before="0" w:after="0"/>
        <w:ind w:left="2761" w:right="0" w:hanging="358"/>
        <w:jc w:val="left"/>
        <w:rPr>
          <w:sz w:val="24"/>
        </w:rPr>
      </w:pPr>
      <w:r>
        <w:rPr>
          <w:sz w:val="24"/>
        </w:rPr>
        <w:t xml:space="preserve">Leis nacionais.</w:t>
      </w:r>
    </w:p>
    <w:p>
      <w:pPr>
        <w:pStyle w:val="ListParagraph"/>
        <w:numPr>
          <w:ilvl w:val="0"/>
          <w:numId w:val="1"/>
        </w:numPr>
        <w:tabs>
          <w:tab w:pos="2761" w:val="left" w:leader="none"/>
          <w:tab w:pos="2762" w:val="left" w:leader="none"/>
        </w:tabs>
        <w:spacing w:line="240" w:lineRule="auto" w:before="0" w:after="0"/>
        <w:ind w:left="2761" w:right="158" w:hanging="357"/>
        <w:jc w:val="left"/>
        <w:rPr>
          <w:sz w:val="24"/>
        </w:rPr>
      </w:pPr>
      <w:r>
        <w:rPr>
          <w:sz w:val="24"/>
        </w:rPr>
        <w:t xml:space="preserve">IDMC- NRC/Brookings- LSE, Instrumentos Nacionais sobre as Deslocações Internas:</w:t>
      </w:r>
      <w:r>
        <w:rPr>
          <w:sz w:val="24"/>
        </w:rPr>
        <w:t xml:space="preserve"> </w:t>
      </w:r>
      <w:r>
        <w:rPr>
          <w:sz w:val="24"/>
        </w:rPr>
        <w:t xml:space="preserve">Guia para o seu Desenvolvimento.</w:t>
      </w:r>
    </w:p>
    <w:p>
      <w:pPr>
        <w:pStyle w:val="ListParagraph"/>
        <w:numPr>
          <w:ilvl w:val="0"/>
          <w:numId w:val="1"/>
        </w:numPr>
        <w:tabs>
          <w:tab w:pos="2761" w:val="left" w:leader="none"/>
          <w:tab w:pos="2762" w:val="left" w:leader="none"/>
        </w:tabs>
        <w:spacing w:line="240" w:lineRule="auto" w:before="4" w:after="0"/>
        <w:ind w:left="2761" w:right="0" w:hanging="358"/>
        <w:jc w:val="left"/>
        <w:rPr>
          <w:sz w:val="24"/>
        </w:rPr>
      </w:pPr>
      <w:r>
        <w:rPr>
          <w:sz w:val="24"/>
        </w:rPr>
        <w:t xml:space="preserve">Manual da UIP do ACNUR para deputados.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0" w:after="0"/>
        <w:ind w:left="2761" w:right="158" w:hanging="357"/>
        <w:jc w:val="both"/>
        <w:rPr>
          <w:sz w:val="24"/>
        </w:rPr>
      </w:pPr>
      <w:r>
        <w:rPr>
          <w:sz w:val="24"/>
        </w:rPr>
        <w:t xml:space="preserve">IDMC, Uma análise do quadro legal no Zimbabué em relação à proteção das PDI, dezembro de 2014.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0" w:after="0"/>
        <w:ind w:left="2761" w:right="158" w:hanging="357"/>
        <w:jc w:val="both"/>
        <w:rPr>
          <w:sz w:val="24"/>
        </w:rPr>
      </w:pPr>
      <w:r>
        <w:rPr>
          <w:sz w:val="24"/>
        </w:rPr>
        <w:t xml:space="preserve">IDMC, Uma análise do quadro normativo no Quénia em relação à proteção das PDI, agosto de 2015.</w:t>
      </w:r>
    </w:p>
    <w:p>
      <w:pPr>
        <w:pStyle w:val="ListParagraph"/>
        <w:numPr>
          <w:ilvl w:val="0"/>
          <w:numId w:val="1"/>
        </w:numPr>
        <w:tabs>
          <w:tab w:pos="2762" w:val="left" w:leader="none"/>
        </w:tabs>
        <w:spacing w:line="240" w:lineRule="auto" w:before="0" w:after="0"/>
        <w:ind w:left="2761" w:right="158" w:hanging="357"/>
        <w:jc w:val="both"/>
        <w:rPr>
          <w:sz w:val="24"/>
        </w:rPr>
      </w:pPr>
      <w:r>
        <w:rPr>
          <w:sz w:val="24"/>
        </w:rPr>
        <w:t xml:space="preserve">Brookings-Berna, Uma análise do quadro legal na República Centro-Africana em relação à proteção das PDI (francês), novembro de 2010.</w:t>
      </w:r>
    </w:p>
    <w:p>
      <w:pPr>
        <w:pStyle w:val="ListParagraph"/>
        <w:numPr>
          <w:ilvl w:val="0"/>
          <w:numId w:val="1"/>
        </w:numPr>
        <w:tabs>
          <w:tab w:pos="2761" w:val="left" w:leader="none"/>
          <w:tab w:pos="2762" w:val="left" w:leader="none"/>
        </w:tabs>
        <w:spacing w:line="240" w:lineRule="auto" w:before="239" w:after="0"/>
        <w:ind w:left="2761" w:right="362" w:hanging="357"/>
        <w:jc w:val="left"/>
        <w:rPr>
          <w:sz w:val="24"/>
        </w:rPr>
      </w:pPr>
      <w:r>
        <w:rPr>
          <w:sz w:val="24"/>
        </w:rPr>
        <w:t xml:space="preserve">Recomendações da análise pelo IDMC do quadro legal em Zimbabué.</w:t>
      </w:r>
    </w:p>
    <w:sectPr>
      <w:pgSz w:w="11900" w:h="16820"/>
      <w:pgMar w:top="1420" w:bottom="280" w:left="120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"/>
      <w:lvlJc w:val="left"/>
      <w:pPr>
        <w:ind w:left="2761" w:hanging="284"/>
      </w:pPr>
      <w:rPr>
        <w:rFonts w:hint="default" w:ascii="Wingdings" w:hAnsi="Wingdings" w:eastAsia="Wingdings" w:cs="Wingdings"/>
        <w:color w:val="1F4E79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3406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4052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698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344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90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36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82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28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pt-PT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>
      <w:ind w:left="2761"/>
    </w:pPr>
    <w:rPr>
      <w:rFonts w:ascii="Calibri" w:hAnsi="Calibri" w:eastAsia="Calibri" w:cs="Calibri"/>
      <w:sz w:val="24"/>
      <w:szCs w:val="24"/>
    </w:rPr>
  </w:style>
  <w:style w:styleId="Title" w:type="paragraph">
    <w:name w:val="Title"/>
    <w:basedOn w:val="Normal"/>
    <w:uiPriority w:val="1"/>
    <w:qFormat/>
    <w:pPr>
      <w:ind w:left="213" w:right="304"/>
    </w:pPr>
    <w:rPr>
      <w:rFonts w:ascii="Calibri" w:hAnsi="Calibri" w:eastAsia="Calibri" w:cs="Calibri"/>
      <w:sz w:val="52"/>
      <w:szCs w:val="52"/>
    </w:rPr>
  </w:style>
  <w:style w:styleId="ListParagraph" w:type="paragraph">
    <w:name w:val="List Paragraph"/>
    <w:basedOn w:val="Normal"/>
    <w:uiPriority w:val="1"/>
    <w:qFormat/>
    <w:pPr>
      <w:ind w:left="2761" w:right="158" w:hanging="357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2020-12-03T09:36:12Z</dcterms:created>
  <dcterms:modified xsi:type="dcterms:W3CDTF">2020-12-03T09:36:12Z</dcterms:modified>
</cp:coreProperties>
</file>